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0"/>
        <w:jc w:val="both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340" w:left="0" w:firstLine="0"/>
        <w:jc w:val="both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Відповідно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Законів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«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реєстрацію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речових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нерухоме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майно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їх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обтяжень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реєстрацію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фізичних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осіб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підприємців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громадських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формувань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»      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громадян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з’явилась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можливість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оскаржувати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бездіяльність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реєстраторів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речових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нерухоме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майно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реєстраторів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юридичних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осіб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фізичних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осіб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підприємців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громадських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формувань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далі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реєстратори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суб’єктів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Міністерства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Головного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територіального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управління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Луганській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області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340" w:left="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 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Куди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й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можна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скаржитись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До Міністерства юстиції України подають скарги: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рішення державного реєстратора про державну реєстрацію прав (крім випадків, коли таке право набуто на підставі рішення суду, а також коли щодо нерухомого майна наявний судовий спір);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рішення, дії або бездіяльність територіальних органів Міністерства юстиції України.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До Головного територіального управління  юстиції у Луганській області подають скарги: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рішення (крім рішення про державну реєстрацію прав), дії або бездіяльність державного реєстратора;</w:t>
      </w:r>
    </w:p>
    <w:p>
      <w:pPr>
        <w:numPr>
          <w:ilvl w:val="0"/>
          <w:numId w:val="7"/>
        </w:numPr>
        <w:spacing w:before="0" w:after="0" w:line="240"/>
        <w:ind w:right="340" w:left="0" w:firstLine="567"/>
        <w:jc w:val="both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бездіяльність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суб’єктів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340" w:left="0" w:firstLine="0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повинно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зазначатися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скарзі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/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бездіяльність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державних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реєстраторів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суб’єктів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повне найменування (ім’я) скаржника, його місце проживання чи перебування (для фізичних осіб) або місцезнаходження (для юридичних осіб), а також найменування (ім’я) представника скаржника, якщо скарга подається представником;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реквізити рішення державного реєстратора, яке оскаржується; 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зміст оскаржуваного рішення, дій чи бездіяльності та норми законодавства, які порушено, на думку скаржника;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викладення обставин, якими скаржник обґрунтовує свої вимоги;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5)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підпис скаржника або його представника із зазначенням дати складання скарги; 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   6)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відомості про наявність чи відсутність судового спору з порушеного у скарзі питання, що може мати наслідком скасування оскаржуваного рішення державного реєстратора та/або внесення </w:t>
      </w:r>
    </w:p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відомостей до Державного реєстру прав.</w:t>
      </w:r>
    </w:p>
    <w:p>
      <w:pPr>
        <w:spacing w:before="0" w:after="0" w:line="240"/>
        <w:ind w:right="340" w:left="34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 скарги додаються засвідчені в установленому порядку копії документів, що підтверджують факт порушення прав скаржника у результаті прийняття рішення державним реєстратором (за наявності), а також якщо скарга подається представником скаржника - довіреність чи інший документ, що підтверджує повноваження такого представника, або копія такого документа, засвідчена в установленому порядку.</w:t>
      </w:r>
    </w:p>
    <w:p>
      <w:pPr>
        <w:spacing w:before="0" w:after="0" w:line="240"/>
        <w:ind w:right="340" w:left="340" w:firstLine="567"/>
        <w:jc w:val="both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Звертаємо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увагу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скарга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подається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виключно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письмовій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формі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повинна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містити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обов’язкові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відомості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передбачені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Законом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разі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коли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встановлено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порушення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вимог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Законів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щодо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строків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подання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вимог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щодо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її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оформлення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щодо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документів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долучаються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суб’єкт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підставі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висновку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комісії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приймає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мотивоване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відмову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задоволенні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без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її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по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суті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формі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наказу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u w:val="single"/>
          <w:shd w:fill="auto" w:val="clear"/>
        </w:rPr>
        <w:t xml:space="preserve">.</w:t>
      </w: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Які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існують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строки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подання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її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340" w:left="34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Щодо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термінів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подачі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скарг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необхідно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зазначити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скаргу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бездіяльність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державного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реєстратора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суб’єкта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мож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­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подати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Міністерства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Головних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територіальних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управлінь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протягом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60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календарних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прийняття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оскаржується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коли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особа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дізналася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чи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могла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дізнатися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порушення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її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відповідною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дією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чи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бездіяльністю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340" w:left="34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Скаргу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Головних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територіальних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управлінь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можна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подати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Міністерства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протягом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15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календарних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прийняття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оскаржується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коли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особа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дізналася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чи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могла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дізнатися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порушення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її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відповідною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дією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чи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бездіяльністю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340" w:left="340" w:firstLine="567"/>
        <w:jc w:val="both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разі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якщо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розгляд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вирішення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потребують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перевірки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діяльності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державного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реєстратора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суб’єкта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також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залучення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скаржника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чи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інших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осіб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Міністерство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його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територіальні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органи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можуть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подовжити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строки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вирішення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повідомивши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про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це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340" w:firstLine="0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скаржника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.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При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цьому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загальний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строк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вирішення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FFFFFF" w:val="clear"/>
        </w:rPr>
        <w:t xml:space="preserve">не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FFFFFF" w:val="clear"/>
        </w:rPr>
        <w:t xml:space="preserve">може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FFFFFF" w:val="clear"/>
        </w:rPr>
        <w:t xml:space="preserve">перевищувати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  <w:t xml:space="preserve"> 45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FFFFFF" w:val="clear"/>
        </w:rPr>
        <w:t xml:space="preserve">календарних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FFFFFF" w:val="clear"/>
        </w:rPr>
        <w:t xml:space="preserve">днів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Які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рішення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приймаються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наслідком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розгляду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 разі задоволення скарги, Головні територіальні управління приймають рішення щодо: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скасування рішення про відмову в державній реєстрації прав та проведення державної реєстрації;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внесення змін до записів Державного реєстру прав / Єдиного державного реєстру юридичних та фізичних осіб-підприємців та громадських формувань та виправлення помилки, допущеної державним реєстратором;</w:t>
      </w:r>
    </w:p>
    <w:p>
      <w:p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тимчасового блокування доступу державного реєстратора до Державного реєстру прав/ Єдиного державного реєстру юридичних та фізичних осіб-підприємців та громадських формувань;</w:t>
      </w:r>
    </w:p>
    <w:p>
      <w:pPr>
        <w:numPr>
          <w:ilvl w:val="0"/>
          <w:numId w:val="21"/>
        </w:numPr>
        <w:spacing w:before="0" w:after="0" w:line="240"/>
        <w:ind w:right="34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діяльністю.</w:t>
      </w: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both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Звертаємо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увагу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що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Головне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територіальне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управління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у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Луганській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області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розглядає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скарги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лише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стосовно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державних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реєстраторів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та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суб’єктів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прав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які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діють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межах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Луганської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області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Адреси, за якими необхідно надсилати скарги: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Міністерство юстиції України: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01001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м. Київ, вул. Городецького, 13.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Головне територіальне управління юстиції у Луганській області: </w:t>
      </w:r>
    </w:p>
    <w:p>
      <w:pPr>
        <w:spacing w:before="0" w:after="0" w:line="240"/>
        <w:ind w:right="34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93404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shd w:fill="auto" w:val="clear"/>
        </w:rPr>
        <w:t xml:space="preserve">м. Сєвєродонецьк, вул. Єгорова, 22.</w:t>
      </w:r>
    </w:p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340" w:left="0" w:firstLine="567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40"/>
        <w:ind w:right="340" w:left="0" w:firstLine="567"/>
        <w:jc w:val="left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  <w:tab/>
        <w:tab/>
        <w:tab/>
        <w:tab/>
        <w:tab/>
        <w:tab/>
        <w:tab/>
        <w:t xml:space="preserve">         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6"/>
          <w:shd w:fill="auto" w:val="clear"/>
        </w:rPr>
        <w:t xml:space="preserve">Пам’ятка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«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Оскарження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рішень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дій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або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бездіяльності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державних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реєстраторів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суб’єктів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державної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реєстрації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до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територіальних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органів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0" w:line="240"/>
        <w:ind w:right="340" w:left="0" w:firstLine="567"/>
        <w:jc w:val="left"/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            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Міністерства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юстиції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6"/>
          <w:shd w:fill="auto" w:val="clear"/>
        </w:rPr>
        <w:t xml:space="preserve">України</w:t>
      </w: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»</w:t>
      </w: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4004" w:dyaOrig="2835">
          <v:rect xmlns:o="urn:schemas-microsoft-com:office:office" xmlns:v="urn:schemas-microsoft-com:vml" id="rectole0000000000" style="width:200.200000pt;height:141.7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Затверджено наказом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Головного територіального</w:t>
        <w:tab/>
        <w:tab/>
        <w:tab/>
        <w:tab/>
        <w:t xml:space="preserve">                   </w:t>
        <w:tab/>
        <w:t xml:space="preserve">        управління юстиції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 Луганській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області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від 30.10.2017 № 512/В</w:t>
      </w: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40" w:left="0" w:firstLine="567"/>
        <w:jc w:val="left"/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8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b/>
          <w:color w:val="000000"/>
          <w:spacing w:val="0"/>
          <w:position w:val="0"/>
          <w:sz w:val="36"/>
          <w:shd w:fill="auto" w:val="clear"/>
        </w:rPr>
        <w:t xml:space="preserve">             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32"/>
          <w:shd w:fill="auto" w:val="clear"/>
        </w:rPr>
        <w:t xml:space="preserve">      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Сєвєродонецьк</w:t>
      </w: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8"/>
          <w:shd w:fill="auto" w:val="clear"/>
        </w:rPr>
        <w:t xml:space="preserve">  </w:t>
      </w:r>
    </w:p>
    <w:p>
      <w:pPr>
        <w:spacing w:before="0" w:after="0" w:line="240"/>
        <w:ind w:right="340" w:left="0" w:firstLine="56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'times new roman', serif" w:hAnsi="'times new roman', serif" w:cs="'times new roman', serif" w:eastAsia="'times new roman', serif"/>
          <w:color w:val="000000"/>
          <w:spacing w:val="0"/>
          <w:position w:val="0"/>
          <w:sz w:val="28"/>
          <w:shd w:fill="auto" w:val="clear"/>
        </w:rPr>
        <w:t xml:space="preserve">                                        2019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рік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7">
    <w:abstractNumId w:val="6"/>
  </w: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