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89" w:rsidRDefault="000C185A">
      <w:pPr>
        <w:spacing w:after="0" w:line="240" w:lineRule="auto"/>
        <w:ind w:right="340"/>
        <w:jc w:val="both"/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4"/>
        </w:rPr>
        <w:tab/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Міністерством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юстиції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було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розроблено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інноваційні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превентивні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8"/>
        </w:rPr>
        <w:t>заходи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захисту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8"/>
        </w:rPr>
        <w:t>майна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</w:rPr>
        <w:t>зокрема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8"/>
        </w:rPr>
        <w:t>:</w:t>
      </w:r>
    </w:p>
    <w:p w:rsidR="001C2289" w:rsidRDefault="001C228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1C2289" w:rsidRDefault="000C185A">
      <w:pPr>
        <w:numPr>
          <w:ilvl w:val="0"/>
          <w:numId w:val="1"/>
        </w:numPr>
        <w:tabs>
          <w:tab w:val="left" w:pos="7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СМС МАЯК —  </w:t>
      </w:r>
      <w:proofErr w:type="spellStart"/>
      <w:r>
        <w:rPr>
          <w:rFonts w:ascii="Times New Roman" w:eastAsia="Times New Roman" w:hAnsi="Times New Roman" w:cs="Times New Roman"/>
          <w:sz w:val="24"/>
        </w:rPr>
        <w:t>це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дає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відстежувати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зміни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статусу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реєстраційним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номером 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Державному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власникам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>ідстежувати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будь-</w:t>
      </w:r>
      <w:proofErr w:type="spellStart"/>
      <w:r>
        <w:rPr>
          <w:rFonts w:ascii="Times New Roman" w:eastAsia="Times New Roman" w:hAnsi="Times New Roman" w:cs="Times New Roman"/>
          <w:sz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реєстраційних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них.</w:t>
      </w:r>
    </w:p>
    <w:p w:rsidR="001C2289" w:rsidRDefault="001C228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C2289" w:rsidRDefault="000C185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надано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власнику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подати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заборону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вчинення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реєстраційних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що</w:t>
      </w:r>
      <w:r>
        <w:rPr>
          <w:rFonts w:ascii="Times New Roman" w:eastAsia="Times New Roman" w:hAnsi="Times New Roman" w:cs="Times New Roman"/>
          <w:color w:val="000000"/>
          <w:sz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власного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1C2289" w:rsidRDefault="001C228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Створено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антирейдерську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, як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ефективний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інструмент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боротьби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</w:rPr>
        <w:t>рейдерством</w:t>
      </w:r>
      <w:proofErr w:type="spellEnd"/>
    </w:p>
    <w:p w:rsidR="001C2289" w:rsidRDefault="001C228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Комі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ія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розглядає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скарги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на:</w:t>
      </w:r>
    </w:p>
    <w:p w:rsidR="001C2289" w:rsidRDefault="000C18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прав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крім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випадків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коли право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набуто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підставі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суду, 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коли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майна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наявний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судовий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спір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1C2289" w:rsidRDefault="001C2289">
      <w:pPr>
        <w:spacing w:after="0" w:line="240" w:lineRule="auto"/>
        <w:rPr>
          <w:rFonts w:ascii="Calibri" w:eastAsia="Calibri" w:hAnsi="Calibri" w:cs="Calibri"/>
        </w:rPr>
      </w:pPr>
    </w:p>
    <w:p w:rsidR="001C2289" w:rsidRDefault="000C185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бездіяльність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1C2289" w:rsidRDefault="001C228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Комісії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терито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ріальних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Мін'юсту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розглядають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скарги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</w:rPr>
        <w:t>:</w:t>
      </w:r>
    </w:p>
    <w:p w:rsidR="001C2289" w:rsidRDefault="000C185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крім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прав),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бездіяльність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реєстратора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1C2289" w:rsidRDefault="001C228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C2289" w:rsidRDefault="000C185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бездіяльність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суб’єктів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прав.</w:t>
      </w: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</w:p>
    <w:p w:rsidR="001C2289" w:rsidRDefault="001C2289">
      <w:pPr>
        <w:spacing w:after="0" w:line="240" w:lineRule="auto"/>
        <w:ind w:firstLine="450"/>
        <w:jc w:val="both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Від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початку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своєї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>іяльності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комісія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задовольнила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більше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1 600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скарг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, повернувши у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громадян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понад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тисяч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га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земельних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ділянок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понад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230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тисяч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квадратних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</w:rPr>
        <w:t xml:space="preserve"> майна.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1C2289" w:rsidRDefault="000C18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1C2289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Забезпечено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новий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механізм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майнових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прав в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аграр</w:t>
      </w:r>
      <w:r>
        <w:rPr>
          <w:rFonts w:ascii="Times New Roman" w:eastAsia="Times New Roman" w:hAnsi="Times New Roman" w:cs="Times New Roman"/>
          <w:b/>
          <w:i/>
          <w:sz w:val="28"/>
        </w:rPr>
        <w:t>ній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сфері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>:</w:t>
      </w:r>
    </w:p>
    <w:p w:rsidR="001C2289" w:rsidRDefault="001C228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середини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2017 року 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регіонах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створені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продовжують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свою </w:t>
      </w:r>
      <w:proofErr w:type="spellStart"/>
      <w:r>
        <w:rPr>
          <w:rFonts w:ascii="Times New Roman" w:eastAsia="Times New Roman" w:hAnsi="Times New Roman" w:cs="Times New Roman"/>
          <w:sz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Оперативні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штаби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протидії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рейдерству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 і свобод </w:t>
      </w:r>
      <w:proofErr w:type="spellStart"/>
      <w:r>
        <w:rPr>
          <w:rFonts w:ascii="Times New Roman" w:eastAsia="Times New Roman" w:hAnsi="Times New Roman" w:cs="Times New Roman"/>
          <w:sz w:val="24"/>
        </w:rPr>
        <w:t>власників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</w:rPr>
        <w:t>користувачів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земель.</w:t>
      </w:r>
    </w:p>
    <w:p w:rsidR="001C2289" w:rsidRDefault="001C2289">
      <w:pPr>
        <w:spacing w:after="0" w:line="240" w:lineRule="auto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За час </w:t>
      </w:r>
      <w:proofErr w:type="spellStart"/>
      <w:r>
        <w:rPr>
          <w:rFonts w:ascii="Times New Roman" w:eastAsia="Times New Roman" w:hAnsi="Times New Roman" w:cs="Times New Roman"/>
          <w:sz w:val="24"/>
        </w:rPr>
        <w:t>дії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такого штабу у </w:t>
      </w:r>
      <w:proofErr w:type="spellStart"/>
      <w:r>
        <w:rPr>
          <w:rFonts w:ascii="Times New Roman" w:eastAsia="Times New Roman" w:hAnsi="Times New Roman" w:cs="Times New Roman"/>
          <w:sz w:val="24"/>
        </w:rPr>
        <w:t>Луганській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розглянуто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sz w:val="24"/>
        </w:rPr>
        <w:t>звернень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здійснено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198  </w:t>
      </w:r>
      <w:proofErr w:type="spellStart"/>
      <w:r>
        <w:rPr>
          <w:rFonts w:ascii="Times New Roman" w:eastAsia="Times New Roman" w:hAnsi="Times New Roman" w:cs="Times New Roman"/>
          <w:sz w:val="24"/>
        </w:rPr>
        <w:t>виїздів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межах </w:t>
      </w:r>
      <w:proofErr w:type="spellStart"/>
      <w:r>
        <w:rPr>
          <w:rFonts w:ascii="Times New Roman" w:eastAsia="Times New Roman" w:hAnsi="Times New Roman" w:cs="Times New Roman"/>
          <w:sz w:val="24"/>
        </w:rPr>
        <w:t>Луганської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надано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422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консультації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аграрних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C2289" w:rsidRDefault="001C2289">
      <w:pPr>
        <w:spacing w:after="0" w:line="240" w:lineRule="auto"/>
        <w:rPr>
          <w:rFonts w:ascii="Calibri" w:eastAsia="Calibri" w:hAnsi="Calibri" w:cs="Calibri"/>
        </w:rPr>
      </w:pPr>
    </w:p>
    <w:p w:rsidR="001C2289" w:rsidRPr="000C185A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85A">
        <w:rPr>
          <w:rFonts w:ascii="Times New Roman" w:eastAsia="Times New Roman" w:hAnsi="Times New Roman" w:cs="Times New Roman"/>
          <w:b/>
          <w:sz w:val="24"/>
          <w:szCs w:val="24"/>
        </w:rPr>
        <w:t>НАШІ КОНТАКТИ:</w:t>
      </w:r>
    </w:p>
    <w:p w:rsidR="001C2289" w:rsidRPr="000C185A" w:rsidRDefault="001C22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2289" w:rsidRPr="000C185A" w:rsidRDefault="000C1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Адреси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надсилання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скарг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сфері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державної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реєстрації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C2289" w:rsidRPr="000C185A" w:rsidRDefault="000C1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01001, м.</w:t>
      </w:r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Київ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вул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Городецького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13 —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Міністерство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юстиції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України</w:t>
      </w:r>
      <w:proofErr w:type="spellEnd"/>
    </w:p>
    <w:p w:rsidR="001C2289" w:rsidRPr="000C185A" w:rsidRDefault="000C185A">
      <w:pPr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93404, м. </w:t>
      </w:r>
      <w:proofErr w:type="spellStart"/>
      <w:proofErr w:type="gram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євєродонецьк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вул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Єгорова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22 — Головне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територіальне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управління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юстиції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Луганській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 w:rsidRPr="000C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1C2289" w:rsidRPr="000C185A" w:rsidRDefault="000C185A">
      <w:pPr>
        <w:spacing w:after="0" w:line="240" w:lineRule="auto"/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</w:pPr>
      <w:proofErr w:type="spellStart"/>
      <w:r w:rsidRPr="000C18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Гаряча</w:t>
      </w:r>
      <w:proofErr w:type="spellEnd"/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C18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лінія</w:t>
      </w:r>
      <w:proofErr w:type="spellEnd"/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0C18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Оперативного</w:t>
      </w:r>
      <w:proofErr w:type="gramEnd"/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 xml:space="preserve"> </w:t>
      </w:r>
      <w:r w:rsidRPr="000C18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штабу</w:t>
      </w:r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>:</w:t>
      </w:r>
    </w:p>
    <w:p w:rsidR="001C2289" w:rsidRPr="000C185A" w:rsidRDefault="000C185A">
      <w:pPr>
        <w:spacing w:after="0" w:line="240" w:lineRule="auto"/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</w:pPr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>(06452) 4-24-93</w:t>
      </w:r>
      <w:r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 xml:space="preserve">         </w:t>
      </w:r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>(0645) 70-50-89</w:t>
      </w:r>
    </w:p>
    <w:p w:rsidR="001C2289" w:rsidRPr="000C185A" w:rsidRDefault="000C185A">
      <w:pPr>
        <w:spacing w:after="0" w:line="240" w:lineRule="auto"/>
        <w:jc w:val="both"/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</w:pPr>
      <w:r w:rsidRPr="000C185A">
        <w:rPr>
          <w:rFonts w:ascii="Times New Roman" w:eastAsia="'times new roman', serif" w:hAnsi="Times New Roman" w:cs="Times New Roman"/>
          <w:b/>
          <w:color w:val="000000"/>
          <w:sz w:val="24"/>
          <w:szCs w:val="24"/>
        </w:rPr>
        <w:tab/>
      </w:r>
    </w:p>
    <w:p w:rsidR="001C2289" w:rsidRDefault="000C185A" w:rsidP="000C185A">
      <w:pPr>
        <w:spacing w:after="0" w:line="240" w:lineRule="auto"/>
        <w:ind w:right="340"/>
        <w:jc w:val="center"/>
        <w:rPr>
          <w:rFonts w:ascii="Calibri" w:eastAsia="Calibri" w:hAnsi="Calibri" w:cs="Calibri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4"/>
        </w:rPr>
        <w:t xml:space="preserve">  </w:t>
      </w:r>
      <w:proofErr w:type="spellStart"/>
      <w:r>
        <w:rPr>
          <w:rFonts w:ascii="Calibri" w:eastAsia="Calibri" w:hAnsi="Calibri" w:cs="Calibri"/>
          <w:color w:val="000000"/>
          <w:sz w:val="28"/>
        </w:rPr>
        <w:t>Мін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>'</w:t>
      </w:r>
      <w:r>
        <w:rPr>
          <w:rFonts w:ascii="Calibri" w:eastAsia="Calibri" w:hAnsi="Calibri" w:cs="Calibri"/>
          <w:color w:val="000000"/>
          <w:sz w:val="28"/>
        </w:rPr>
        <w:t>юст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стоїть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на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захисті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ваших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прав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>!</w:t>
      </w:r>
      <w:bookmarkStart w:id="0" w:name="_GoBack"/>
      <w:bookmarkEnd w:id="0"/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left="340" w:right="340" w:firstLine="567"/>
        <w:jc w:val="both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ind w:right="340" w:firstLine="567"/>
        <w:jc w:val="center"/>
        <w:rPr>
          <w:rFonts w:ascii="'times new roman', serif" w:eastAsia="'times new roman', serif" w:hAnsi="'times new roman', serif" w:cs="'times new roman', serif"/>
          <w:b/>
          <w:i/>
          <w:color w:val="000000"/>
          <w:sz w:val="36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sz w:val="36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36"/>
        </w:rPr>
        <w:t>Пам’ятка</w:t>
      </w:r>
      <w:proofErr w:type="spellEnd"/>
      <w:proofErr w:type="gram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36"/>
        </w:rPr>
        <w:t xml:space="preserve"> </w:t>
      </w:r>
    </w:p>
    <w:p w:rsidR="001C2289" w:rsidRDefault="000C185A">
      <w:pPr>
        <w:spacing w:after="0" w:line="240" w:lineRule="auto"/>
        <w:jc w:val="center"/>
        <w:rPr>
          <w:rFonts w:ascii="'times new roman', serif" w:eastAsia="'times new roman', serif" w:hAnsi="'times new roman', serif" w:cs="'times new roman', serif"/>
          <w:b/>
          <w:color w:val="000000"/>
          <w:sz w:val="44"/>
        </w:rPr>
      </w:pPr>
      <w:r>
        <w:rPr>
          <w:rFonts w:ascii="'times new roman', serif" w:eastAsia="'times new roman', serif" w:hAnsi="'times new roman', serif" w:cs="'times new roman', serif"/>
          <w:b/>
          <w:color w:val="000000"/>
          <w:sz w:val="4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Чи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всі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засоби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захисту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своїх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майнових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прав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ви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44"/>
        </w:rPr>
        <w:t>знаєте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>?</w:t>
      </w:r>
      <w:r>
        <w:rPr>
          <w:rFonts w:ascii="'times new roman', serif" w:eastAsia="'times new roman', serif" w:hAnsi="'times new roman', serif" w:cs="'times new roman', serif"/>
          <w:b/>
          <w:color w:val="000000"/>
          <w:sz w:val="44"/>
        </w:rPr>
        <w:t>»</w:t>
      </w: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ind w:right="340" w:firstLine="567"/>
        <w:rPr>
          <w:rFonts w:ascii="Calibri" w:eastAsia="Calibri" w:hAnsi="Calibri" w:cs="Calibri"/>
        </w:rPr>
      </w:pPr>
      <w:r>
        <w:object w:dxaOrig="6644" w:dyaOrig="4169">
          <v:rect id="rectole0000000001" o:spid="_x0000_i1025" style="width:332.25pt;height:208.5pt" o:ole="" o:preferrelative="t" stroked="f">
            <v:imagedata r:id="rId6" o:title=""/>
          </v:rect>
          <o:OLEObject Type="Embed" ProgID="StaticMetafile" ShapeID="rectole0000000001" DrawAspect="Content" ObjectID="_1612771762" r:id="rId7"/>
        </w:object>
      </w:r>
    </w:p>
    <w:p w:rsidR="001C2289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Затверджено</w:t>
      </w:r>
      <w:proofErr w:type="spellEnd"/>
      <w:r>
        <w:rPr>
          <w:rFonts w:ascii="Times New Roman" w:eastAsia="Times New Roman" w:hAnsi="Times New Roman" w:cs="Times New Roman"/>
        </w:rPr>
        <w:t xml:space="preserve"> наказом</w:t>
      </w:r>
    </w:p>
    <w:p w:rsidR="001C2289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Головного </w:t>
      </w:r>
      <w:proofErr w:type="spellStart"/>
      <w:r>
        <w:rPr>
          <w:rFonts w:ascii="Times New Roman" w:eastAsia="Times New Roman" w:hAnsi="Times New Roman" w:cs="Times New Roman"/>
        </w:rPr>
        <w:t>територіального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управління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юстиції</w:t>
      </w:r>
      <w:proofErr w:type="spellEnd"/>
    </w:p>
    <w:p w:rsidR="001C2289" w:rsidRDefault="000C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у </w:t>
      </w:r>
      <w:proofErr w:type="spellStart"/>
      <w:r>
        <w:rPr>
          <w:rFonts w:ascii="Times New Roman" w:eastAsia="Times New Roman" w:hAnsi="Times New Roman" w:cs="Times New Roman"/>
        </w:rPr>
        <w:t>Луганській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1C2289" w:rsidRDefault="000C185A">
      <w:pPr>
        <w:spacing w:after="0" w:line="240" w:lineRule="auto"/>
        <w:ind w:right="340" w:firstLine="567"/>
        <w:jc w:val="center"/>
        <w:rPr>
          <w:rFonts w:ascii="'times new roman', serif" w:eastAsia="'times new roman', serif" w:hAnsi="'times new roman', serif" w:cs="'times new roman', serif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19.02.2019 № 55</w:t>
      </w:r>
      <w:proofErr w:type="gramStart"/>
      <w:r>
        <w:rPr>
          <w:rFonts w:ascii="Times New Roman" w:eastAsia="Times New Roman" w:hAnsi="Times New Roman" w:cs="Times New Roman"/>
          <w:color w:val="000000"/>
        </w:rPr>
        <w:t>/В</w:t>
      </w:r>
      <w:proofErr w:type="gramEnd"/>
      <w:r>
        <w:rPr>
          <w:rFonts w:ascii="'times new roman', serif" w:eastAsia="'times new roman', serif" w:hAnsi="'times new roman', serif" w:cs="'times new roman', serif"/>
          <w:b/>
          <w:color w:val="000000"/>
          <w:sz w:val="20"/>
        </w:rPr>
        <w:tab/>
      </w: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1C2289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1C2289" w:rsidRDefault="000C185A">
      <w:pPr>
        <w:spacing w:after="0" w:line="240" w:lineRule="auto"/>
        <w:ind w:right="340" w:firstLine="567"/>
        <w:rPr>
          <w:rFonts w:ascii="'times new roman', serif" w:eastAsia="'times new roman', serif" w:hAnsi="'times new roman', serif" w:cs="'times new roman', serif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b/>
          <w:color w:val="000000"/>
          <w:sz w:val="36"/>
        </w:rPr>
        <w:t xml:space="preserve">             </w:t>
      </w:r>
      <w:r>
        <w:rPr>
          <w:rFonts w:ascii="'times new roman', serif" w:eastAsia="'times new roman', serif" w:hAnsi="'times new roman', serif" w:cs="'times new roman', serif"/>
          <w:color w:val="000000"/>
          <w:sz w:val="32"/>
        </w:rPr>
        <w:t xml:space="preserve">      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</w:rPr>
        <w:t>м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Сєвєродонецьк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</w:t>
      </w:r>
    </w:p>
    <w:p w:rsidR="001C2289" w:rsidRDefault="000C185A">
      <w:pPr>
        <w:spacing w:after="0" w:line="240" w:lineRule="auto"/>
        <w:ind w:right="340" w:firstLine="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lastRenderedPageBreak/>
        <w:t xml:space="preserve">                                        2019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</w:t>
      </w:r>
      <w:proofErr w:type="spellEnd"/>
    </w:p>
    <w:sectPr w:rsidR="001C2289" w:rsidSect="000C185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times new roman'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E21"/>
    <w:multiLevelType w:val="multilevel"/>
    <w:tmpl w:val="63449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A6F30"/>
    <w:multiLevelType w:val="multilevel"/>
    <w:tmpl w:val="86B0A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313EC"/>
    <w:multiLevelType w:val="multilevel"/>
    <w:tmpl w:val="0E1804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9C4283"/>
    <w:multiLevelType w:val="multilevel"/>
    <w:tmpl w:val="97B80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446F3"/>
    <w:multiLevelType w:val="multilevel"/>
    <w:tmpl w:val="5636B5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2E1B15"/>
    <w:multiLevelType w:val="multilevel"/>
    <w:tmpl w:val="75DE1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2289"/>
    <w:rsid w:val="000C185A"/>
    <w:rsid w:val="001C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ПАЛАГУТА</cp:lastModifiedBy>
  <cp:revision>2</cp:revision>
  <dcterms:created xsi:type="dcterms:W3CDTF">2019-02-27T09:19:00Z</dcterms:created>
  <dcterms:modified xsi:type="dcterms:W3CDTF">2019-02-27T09:23:00Z</dcterms:modified>
</cp:coreProperties>
</file>