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534BF6" w:rsidRDefault="00534BF6" w:rsidP="00534BF6">
      <w:pPr>
        <w:rPr>
          <w:rFonts w:eastAsia="Arial Unicode MS"/>
          <w:lang w:val="uk-UA"/>
        </w:rPr>
      </w:pPr>
    </w:p>
    <w:p w:rsidR="00534BF6" w:rsidRPr="00534BF6" w:rsidRDefault="00534BF6" w:rsidP="00534BF6">
      <w:pPr>
        <w:rPr>
          <w:rFonts w:eastAsia="Arial Unicode MS"/>
          <w:lang w:val="uk-UA"/>
        </w:rPr>
      </w:pPr>
    </w:p>
    <w:p w:rsidR="00337964" w:rsidRDefault="00337964" w:rsidP="00046881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534BF6">
        <w:rPr>
          <w:rFonts w:ascii="Times New Roman" w:eastAsia="Arial Unicode MS" w:hAnsi="Times New Roman"/>
          <w:sz w:val="24"/>
          <w:szCs w:val="24"/>
        </w:rPr>
        <w:t>24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F24DB0">
        <w:rPr>
          <w:rFonts w:ascii="Times New Roman" w:eastAsia="Arial Unicode MS" w:hAnsi="Times New Roman"/>
          <w:sz w:val="24"/>
          <w:szCs w:val="24"/>
        </w:rPr>
        <w:t>1</w:t>
      </w:r>
      <w:r w:rsidR="00721AE8">
        <w:rPr>
          <w:rFonts w:ascii="Times New Roman" w:eastAsia="Arial Unicode MS" w:hAnsi="Times New Roman"/>
          <w:sz w:val="24"/>
          <w:szCs w:val="24"/>
        </w:rPr>
        <w:t>2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34082E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Default="00337964" w:rsidP="00046881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5D27E5">
        <w:rPr>
          <w:rFonts w:ascii="Times New Roman" w:eastAsia="Arial Unicode MS" w:hAnsi="Times New Roman"/>
          <w:sz w:val="24"/>
          <w:szCs w:val="24"/>
        </w:rPr>
        <w:t xml:space="preserve"> 75</w:t>
      </w:r>
      <w:bookmarkStart w:id="0" w:name="_GoBack"/>
      <w:bookmarkEnd w:id="0"/>
    </w:p>
    <w:p w:rsidR="00337964" w:rsidRDefault="00337964" w:rsidP="00046881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046881" w:rsidRPr="00046881" w:rsidRDefault="00046881" w:rsidP="00046881">
      <w:pPr>
        <w:rPr>
          <w:rFonts w:eastAsia="Arial Unicode MS"/>
          <w:lang w:val="uk-UA"/>
        </w:rPr>
      </w:pPr>
    </w:p>
    <w:p w:rsidR="0034082E" w:rsidRDefault="00AC7BA9" w:rsidP="009F3C16">
      <w:pPr>
        <w:pStyle w:val="a3"/>
        <w:ind w:firstLine="42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>затвердження зведен</w:t>
      </w:r>
      <w:r w:rsidR="00721AE8"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721AE8">
        <w:rPr>
          <w:rFonts w:ascii="Times New Roman" w:eastAsia="Arial Unicode MS" w:hAnsi="Times New Roman"/>
          <w:b w:val="0"/>
          <w:sz w:val="24"/>
          <w:szCs w:val="24"/>
        </w:rPr>
        <w:t>ого</w:t>
      </w:r>
    </w:p>
    <w:p w:rsidR="0034082E" w:rsidRDefault="0034082E" w:rsidP="009F3C16">
      <w:pPr>
        <w:pStyle w:val="a3"/>
        <w:ind w:firstLine="42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розрахунк</w:t>
      </w:r>
      <w:r w:rsidR="00721AE8">
        <w:rPr>
          <w:rFonts w:ascii="Times New Roman" w:eastAsia="Arial Unicode MS" w:hAnsi="Times New Roman"/>
          <w:b w:val="0"/>
          <w:sz w:val="24"/>
          <w:szCs w:val="24"/>
        </w:rPr>
        <w:t>у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721AE8">
        <w:rPr>
          <w:rFonts w:ascii="Times New Roman" w:eastAsia="Arial Unicode MS" w:hAnsi="Times New Roman"/>
          <w:b w:val="0"/>
          <w:sz w:val="24"/>
          <w:szCs w:val="24"/>
        </w:rPr>
        <w:t>а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</w:t>
      </w: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721AE8" w:rsidRDefault="00721AE8" w:rsidP="00CE196B">
      <w:pPr>
        <w:pStyle w:val="a3"/>
        <w:ind w:firstLine="426"/>
        <w:jc w:val="both"/>
        <w:rPr>
          <w:rFonts w:ascii="Times New Roman" w:eastAsia="Arial Unicode MS" w:hAnsi="Times New Roman"/>
        </w:rPr>
      </w:pPr>
      <w:r w:rsidRPr="00CE196B">
        <w:rPr>
          <w:rFonts w:ascii="Times New Roman" w:eastAsia="Arial Unicode MS" w:hAnsi="Times New Roman"/>
          <w:b w:val="0"/>
          <w:sz w:val="24"/>
          <w:szCs w:val="24"/>
        </w:rPr>
        <w:t xml:space="preserve">Пунктом 1.9. рішення виконавчого комітету Щастинської міської ради від 20.10.2015р. №48 затверджений кошторисний розрахунок вартості об’єкта будівництва «Капітальний ремонт будівлі поліклініки Щастинської міської лікарні» кошторисною вартістю 976,75868 </w:t>
      </w:r>
      <w:proofErr w:type="spellStart"/>
      <w:r w:rsidRPr="00CE196B">
        <w:rPr>
          <w:rFonts w:ascii="Times New Roman" w:eastAsia="Arial Unicode MS" w:hAnsi="Times New Roman"/>
          <w:b w:val="0"/>
          <w:sz w:val="24"/>
          <w:szCs w:val="24"/>
        </w:rPr>
        <w:t>тис.грн</w:t>
      </w:r>
      <w:proofErr w:type="spellEnd"/>
      <w:r w:rsidRPr="00CE196B">
        <w:rPr>
          <w:rFonts w:ascii="Times New Roman" w:eastAsia="Arial Unicode MS" w:hAnsi="Times New Roman"/>
          <w:b w:val="0"/>
          <w:sz w:val="24"/>
          <w:szCs w:val="24"/>
        </w:rPr>
        <w:t xml:space="preserve">. Згідно з листом КЗ «Щастинська міська лікарня </w:t>
      </w:r>
      <w:proofErr w:type="spellStart"/>
      <w:r w:rsidRPr="00CE196B">
        <w:rPr>
          <w:rFonts w:ascii="Times New Roman" w:eastAsia="Arial Unicode MS" w:hAnsi="Times New Roman"/>
          <w:b w:val="0"/>
          <w:sz w:val="24"/>
          <w:szCs w:val="24"/>
        </w:rPr>
        <w:t>Новоайдарського</w:t>
      </w:r>
      <w:proofErr w:type="spellEnd"/>
      <w:r w:rsidRPr="00CE196B">
        <w:rPr>
          <w:rFonts w:ascii="Times New Roman" w:eastAsia="Arial Unicode MS" w:hAnsi="Times New Roman"/>
          <w:b w:val="0"/>
          <w:sz w:val="24"/>
          <w:szCs w:val="24"/>
        </w:rPr>
        <w:t xml:space="preserve"> району Луганської області» від 08.12.2015р. №356 виконан</w:t>
      </w:r>
      <w:r w:rsidR="00CE196B" w:rsidRPr="00CE196B">
        <w:rPr>
          <w:rFonts w:ascii="Times New Roman" w:eastAsia="Arial Unicode MS" w:hAnsi="Times New Roman"/>
          <w:b w:val="0"/>
          <w:sz w:val="24"/>
          <w:szCs w:val="24"/>
        </w:rPr>
        <w:t xml:space="preserve">ий </w:t>
      </w:r>
      <w:r w:rsidR="00CE196B">
        <w:rPr>
          <w:rFonts w:ascii="Times New Roman" w:eastAsia="Arial Unicode MS" w:hAnsi="Times New Roman"/>
          <w:b w:val="0"/>
          <w:sz w:val="24"/>
          <w:szCs w:val="24"/>
        </w:rPr>
        <w:t>зведений кошторисний розрахунок вартості вищевказаного об’єкта будівництва на додаткові роботи.</w:t>
      </w:r>
      <w:r>
        <w:rPr>
          <w:rFonts w:ascii="Times New Roman" w:eastAsia="Arial Unicode MS" w:hAnsi="Times New Roman"/>
        </w:rPr>
        <w:t xml:space="preserve"> </w:t>
      </w:r>
    </w:p>
    <w:p w:rsidR="005E4731" w:rsidRDefault="00CE196B" w:rsidP="00CE196B">
      <w:pPr>
        <w:pStyle w:val="a3"/>
        <w:ind w:firstLine="42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В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ідповідно до постанови Кабінету Міністрів 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>України від 11 травня 2011р. №560 «Про затвердження Порядку затвердження проектів будівництва і проведення їх експертизи та визнання такими, що втратили чинність деяких постанов Кабінету Міністрів України» (із змінами та доповненнями),</w:t>
      </w:r>
      <w:r w:rsidR="0034082E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667455">
        <w:rPr>
          <w:rFonts w:ascii="Times New Roman" w:eastAsia="Arial Unicode MS" w:hAnsi="Times New Roman"/>
          <w:b w:val="0"/>
          <w:sz w:val="24"/>
          <w:szCs w:val="24"/>
        </w:rPr>
        <w:t>враховуючи наявність позитивн</w:t>
      </w:r>
      <w:r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="00667455">
        <w:rPr>
          <w:rFonts w:ascii="Times New Roman" w:eastAsia="Arial Unicode MS" w:hAnsi="Times New Roman"/>
          <w:b w:val="0"/>
          <w:sz w:val="24"/>
          <w:szCs w:val="24"/>
        </w:rPr>
        <w:t xml:space="preserve"> експертн</w:t>
      </w:r>
      <w:r w:rsidR="00534BF6">
        <w:rPr>
          <w:rFonts w:ascii="Times New Roman" w:eastAsia="Arial Unicode MS" w:hAnsi="Times New Roman"/>
          <w:b w:val="0"/>
          <w:sz w:val="24"/>
          <w:szCs w:val="24"/>
        </w:rPr>
        <w:t>ого</w:t>
      </w:r>
      <w:r w:rsidR="00667455">
        <w:rPr>
          <w:rFonts w:ascii="Times New Roman" w:eastAsia="Arial Unicode MS" w:hAnsi="Times New Roman"/>
          <w:b w:val="0"/>
          <w:sz w:val="24"/>
          <w:szCs w:val="24"/>
        </w:rPr>
        <w:t xml:space="preserve"> звіт</w:t>
      </w:r>
      <w:r w:rsidR="00534BF6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="00667455">
        <w:rPr>
          <w:rFonts w:ascii="Times New Roman" w:eastAsia="Arial Unicode MS" w:hAnsi="Times New Roman"/>
          <w:b w:val="0"/>
          <w:sz w:val="24"/>
          <w:szCs w:val="24"/>
        </w:rPr>
        <w:t xml:space="preserve">, щодо розгляду кошторисної частини проектної документації,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к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еруючись 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З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акон</w:t>
      </w:r>
      <w:r w:rsidR="00E759B6" w:rsidRPr="00A160DD">
        <w:rPr>
          <w:rFonts w:ascii="Times New Roman" w:eastAsia="Arial Unicode MS" w:hAnsi="Times New Roman"/>
          <w:b w:val="0"/>
          <w:sz w:val="24"/>
          <w:szCs w:val="24"/>
        </w:rPr>
        <w:t>о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>м України «Про місцеве самоврядування в Україні»</w:t>
      </w:r>
      <w:r w:rsidR="00A160DD">
        <w:rPr>
          <w:rFonts w:ascii="Times New Roman" w:eastAsia="Arial Unicode MS" w:hAnsi="Times New Roman"/>
          <w:b w:val="0"/>
          <w:sz w:val="24"/>
          <w:szCs w:val="24"/>
        </w:rPr>
        <w:t xml:space="preserve"> (із змінами та доповненнями),</w:t>
      </w:r>
      <w:r w:rsidR="005E4731" w:rsidRPr="00A160DD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B22B8B" w:rsidRPr="00A160DD">
        <w:rPr>
          <w:rFonts w:ascii="Times New Roman" w:eastAsia="Arial Unicode MS" w:hAnsi="Times New Roman"/>
          <w:b w:val="0"/>
          <w:sz w:val="24"/>
          <w:szCs w:val="24"/>
        </w:rPr>
        <w:t>виконавчий комітет Щастинської міської ради</w:t>
      </w:r>
    </w:p>
    <w:p w:rsidR="00534BF6" w:rsidRPr="00534BF6" w:rsidRDefault="00534BF6" w:rsidP="00534BF6">
      <w:pPr>
        <w:rPr>
          <w:rFonts w:eastAsia="Arial Unicode MS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534BF6" w:rsidRDefault="00534BF6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ED6041" w:rsidRPr="00534BF6" w:rsidRDefault="00A160DD" w:rsidP="00534BF6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534BF6">
        <w:rPr>
          <w:rFonts w:ascii="Times New Roman" w:eastAsia="Arial Unicode MS" w:hAnsi="Times New Roman"/>
          <w:b w:val="0"/>
          <w:sz w:val="24"/>
          <w:szCs w:val="24"/>
        </w:rPr>
        <w:t>Затвердити зведен</w:t>
      </w:r>
      <w:r w:rsidR="00534BF6" w:rsidRPr="00534BF6">
        <w:rPr>
          <w:rFonts w:ascii="Times New Roman" w:eastAsia="Arial Unicode MS" w:hAnsi="Times New Roman"/>
          <w:b w:val="0"/>
          <w:sz w:val="24"/>
          <w:szCs w:val="24"/>
        </w:rPr>
        <w:t>ий</w:t>
      </w:r>
      <w:r w:rsidRPr="00534BF6">
        <w:rPr>
          <w:rFonts w:ascii="Times New Roman" w:eastAsia="Arial Unicode MS" w:hAnsi="Times New Roman"/>
          <w:b w:val="0"/>
          <w:sz w:val="24"/>
          <w:szCs w:val="24"/>
        </w:rPr>
        <w:t xml:space="preserve"> кошторисн</w:t>
      </w:r>
      <w:r w:rsidR="00534BF6" w:rsidRPr="00534BF6">
        <w:rPr>
          <w:rFonts w:ascii="Times New Roman" w:eastAsia="Arial Unicode MS" w:hAnsi="Times New Roman"/>
          <w:b w:val="0"/>
          <w:sz w:val="24"/>
          <w:szCs w:val="24"/>
        </w:rPr>
        <w:t>ий</w:t>
      </w:r>
      <w:r w:rsidRPr="00534BF6">
        <w:rPr>
          <w:rFonts w:ascii="Times New Roman" w:eastAsia="Arial Unicode MS" w:hAnsi="Times New Roman"/>
          <w:b w:val="0"/>
          <w:sz w:val="24"/>
          <w:szCs w:val="24"/>
        </w:rPr>
        <w:t xml:space="preserve"> розрахун</w:t>
      </w:r>
      <w:r w:rsidR="00534BF6" w:rsidRPr="00534BF6">
        <w:rPr>
          <w:rFonts w:ascii="Times New Roman" w:eastAsia="Arial Unicode MS" w:hAnsi="Times New Roman"/>
          <w:b w:val="0"/>
          <w:sz w:val="24"/>
          <w:szCs w:val="24"/>
        </w:rPr>
        <w:t>ок</w:t>
      </w:r>
      <w:r w:rsidRPr="00534BF6">
        <w:rPr>
          <w:rFonts w:ascii="Times New Roman" w:eastAsia="Arial Unicode MS" w:hAnsi="Times New Roman"/>
          <w:b w:val="0"/>
          <w:sz w:val="24"/>
          <w:szCs w:val="24"/>
        </w:rPr>
        <w:t xml:space="preserve"> вартості об’єкт</w:t>
      </w:r>
      <w:r w:rsidR="00534BF6" w:rsidRPr="00534BF6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Pr="00534BF6">
        <w:rPr>
          <w:rFonts w:ascii="Times New Roman" w:eastAsia="Arial Unicode MS" w:hAnsi="Times New Roman"/>
          <w:b w:val="0"/>
          <w:sz w:val="24"/>
          <w:szCs w:val="24"/>
        </w:rPr>
        <w:t xml:space="preserve"> будівництва по об’єкт</w:t>
      </w:r>
      <w:r w:rsidR="00534BF6" w:rsidRPr="00534BF6">
        <w:rPr>
          <w:rFonts w:ascii="Times New Roman" w:eastAsia="Arial Unicode MS" w:hAnsi="Times New Roman"/>
          <w:b w:val="0"/>
          <w:sz w:val="24"/>
          <w:szCs w:val="24"/>
        </w:rPr>
        <w:t>у</w:t>
      </w:r>
      <w:r w:rsidR="00ED6041" w:rsidRPr="00534BF6">
        <w:rPr>
          <w:rFonts w:ascii="Times New Roman" w:eastAsia="Arial Unicode MS" w:hAnsi="Times New Roman"/>
          <w:b w:val="0"/>
          <w:sz w:val="24"/>
          <w:szCs w:val="24"/>
        </w:rPr>
        <w:t xml:space="preserve"> «Капітальний ремонт будівлі поліклініки Щастинської міської лікарні» кошторисною вартістю </w:t>
      </w:r>
      <w:r w:rsidR="00534BF6">
        <w:rPr>
          <w:rFonts w:ascii="Times New Roman" w:eastAsia="Arial Unicode MS" w:hAnsi="Times New Roman"/>
          <w:b w:val="0"/>
          <w:sz w:val="24"/>
          <w:szCs w:val="24"/>
        </w:rPr>
        <w:t>246,888</w:t>
      </w:r>
      <w:r w:rsidR="00ED6041" w:rsidRPr="00534BF6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ED6041" w:rsidRPr="00534BF6">
        <w:rPr>
          <w:rFonts w:ascii="Times New Roman" w:eastAsia="Arial Unicode MS" w:hAnsi="Times New Roman"/>
          <w:b w:val="0"/>
          <w:sz w:val="24"/>
          <w:szCs w:val="24"/>
        </w:rPr>
        <w:t>тис.грн</w:t>
      </w:r>
      <w:proofErr w:type="spellEnd"/>
      <w:r w:rsidR="00ED6041" w:rsidRPr="00534BF6"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F85018" w:rsidRDefault="00F85018" w:rsidP="00046881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Відділу архітектури, землевпорядкування та житлово-комунального господарства виконавчого комітету Щастинської міської ради (Лукашенко О.О.) здійснити заходи, передбачені законодавством, пов’язані із запланованим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и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будів</w:t>
      </w:r>
      <w:r w:rsidR="00693BC4">
        <w:rPr>
          <w:rFonts w:ascii="Times New Roman" w:eastAsia="Arial Unicode MS" w:hAnsi="Times New Roman"/>
          <w:b w:val="0"/>
          <w:sz w:val="24"/>
          <w:szCs w:val="24"/>
        </w:rPr>
        <w:t>ельними роботами</w:t>
      </w:r>
      <w:r>
        <w:rPr>
          <w:rFonts w:ascii="Times New Roman" w:eastAsia="Arial Unicode MS" w:hAnsi="Times New Roman"/>
          <w:b w:val="0"/>
          <w:sz w:val="24"/>
          <w:szCs w:val="24"/>
        </w:rPr>
        <w:t>.</w:t>
      </w:r>
    </w:p>
    <w:p w:rsidR="00B22B8B" w:rsidRDefault="00CC5248" w:rsidP="00046881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F47D0E" w:rsidRDefault="00F47D0E" w:rsidP="00F47D0E">
      <w:pPr>
        <w:ind w:left="-284" w:firstLine="284"/>
        <w:rPr>
          <w:rFonts w:eastAsia="Arial Unicode MS"/>
          <w:lang w:val="uk-UA"/>
        </w:rPr>
      </w:pPr>
    </w:p>
    <w:p w:rsidR="00534BF6" w:rsidRDefault="00534BF6" w:rsidP="00F47D0E">
      <w:pPr>
        <w:ind w:left="-284" w:firstLine="284"/>
        <w:rPr>
          <w:rFonts w:eastAsia="Arial Unicode MS"/>
          <w:lang w:val="uk-UA"/>
        </w:rPr>
      </w:pPr>
    </w:p>
    <w:p w:rsidR="00534BF6" w:rsidRDefault="00534BF6" w:rsidP="00F47D0E">
      <w:pPr>
        <w:ind w:left="-284" w:firstLine="284"/>
        <w:rPr>
          <w:rFonts w:eastAsia="Arial Unicode MS"/>
          <w:lang w:val="uk-UA"/>
        </w:rPr>
      </w:pPr>
    </w:p>
    <w:p w:rsidR="00534BF6" w:rsidRPr="00F47D0E" w:rsidRDefault="00534BF6" w:rsidP="00F47D0E">
      <w:pPr>
        <w:ind w:left="-284" w:firstLine="284"/>
        <w:rPr>
          <w:rFonts w:eastAsia="Arial Unicode MS"/>
          <w:lang w:val="uk-UA"/>
        </w:rPr>
      </w:pPr>
    </w:p>
    <w:p w:rsidR="006612D0" w:rsidRDefault="00F85018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 w:rsidRPr="00F85018">
        <w:rPr>
          <w:rFonts w:ascii="Times New Roman" w:eastAsia="Arial Unicode MS" w:hAnsi="Times New Roman"/>
          <w:b/>
          <w:lang w:val="uk-UA"/>
        </w:rPr>
        <w:t>В.о.</w:t>
      </w:r>
      <w:r w:rsidR="00CC5248" w:rsidRPr="00F85018">
        <w:rPr>
          <w:rFonts w:ascii="Times New Roman" w:eastAsia="Arial Unicode MS" w:hAnsi="Times New Roman"/>
          <w:b/>
          <w:lang w:val="uk-UA"/>
        </w:rPr>
        <w:t xml:space="preserve">  </w:t>
      </w:r>
      <w:r w:rsidRPr="00F85018">
        <w:rPr>
          <w:rFonts w:ascii="Times New Roman" w:eastAsia="Arial Unicode MS" w:hAnsi="Times New Roman"/>
          <w:b/>
          <w:lang w:val="uk-UA"/>
        </w:rPr>
        <w:t>м</w:t>
      </w:r>
      <w:r w:rsidR="006612D0" w:rsidRPr="00F85018">
        <w:rPr>
          <w:rFonts w:ascii="Times New Roman" w:eastAsia="Arial Unicode MS" w:hAnsi="Times New Roman"/>
          <w:b/>
          <w:lang w:val="uk-UA"/>
        </w:rPr>
        <w:t>іськ</w:t>
      </w:r>
      <w:r w:rsidRPr="00F85018">
        <w:rPr>
          <w:rFonts w:ascii="Times New Roman" w:eastAsia="Arial Unicode MS" w:hAnsi="Times New Roman"/>
          <w:b/>
          <w:lang w:val="uk-UA"/>
        </w:rPr>
        <w:t>ого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голов</w:t>
      </w:r>
      <w:r w:rsidRPr="00F85018">
        <w:rPr>
          <w:rFonts w:ascii="Times New Roman" w:eastAsia="Arial Unicode MS" w:hAnsi="Times New Roman"/>
          <w:b/>
          <w:lang w:val="uk-UA"/>
        </w:rPr>
        <w:t>и</w:t>
      </w:r>
      <w:r w:rsidR="00F47D0E">
        <w:rPr>
          <w:rFonts w:ascii="Times New Roman" w:eastAsia="Arial Unicode MS" w:hAnsi="Times New Roman"/>
          <w:b/>
          <w:lang w:val="uk-UA"/>
        </w:rPr>
        <w:t xml:space="preserve">, </w:t>
      </w:r>
      <w:r w:rsidRPr="00F85018">
        <w:rPr>
          <w:rFonts w:ascii="Times New Roman" w:eastAsia="Arial Unicode MS" w:hAnsi="Times New Roman"/>
          <w:b/>
          <w:lang w:val="uk-UA"/>
        </w:rPr>
        <w:t>секретар ради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                 </w:t>
      </w:r>
      <w:r w:rsidR="009936DA">
        <w:rPr>
          <w:rFonts w:ascii="Times New Roman" w:eastAsia="Arial Unicode MS" w:hAnsi="Times New Roman"/>
          <w:b/>
          <w:lang w:val="uk-UA"/>
        </w:rPr>
        <w:t xml:space="preserve">                </w:t>
      </w:r>
      <w:r w:rsidR="006612D0" w:rsidRPr="00F85018">
        <w:rPr>
          <w:rFonts w:ascii="Times New Roman" w:eastAsia="Arial Unicode MS" w:hAnsi="Times New Roman"/>
          <w:b/>
          <w:lang w:val="uk-UA"/>
        </w:rPr>
        <w:t xml:space="preserve">           </w:t>
      </w:r>
      <w:r w:rsidRPr="00F85018">
        <w:rPr>
          <w:rFonts w:ascii="Times New Roman" w:eastAsia="Arial Unicode MS" w:hAnsi="Times New Roman"/>
          <w:b/>
          <w:lang w:val="uk-UA"/>
        </w:rPr>
        <w:t>О.О. Богиня</w:t>
      </w:r>
    </w:p>
    <w:p w:rsidR="009F3C16" w:rsidRDefault="009F3C1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F3C16" w:rsidRDefault="009F3C1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F3C16" w:rsidRDefault="009F3C1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F3C16" w:rsidRDefault="009F3C1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F3C16" w:rsidRDefault="009F3C1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F3C16" w:rsidRDefault="009F3C1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p w:rsidR="009F3C16" w:rsidRPr="009F3C16" w:rsidRDefault="009F3C16" w:rsidP="009F3C16">
      <w:pPr>
        <w:pStyle w:val="a3"/>
        <w:rPr>
          <w:rFonts w:ascii="Times New Roman" w:hAnsi="Times New Roman"/>
          <w:b w:val="0"/>
          <w:sz w:val="24"/>
          <w:szCs w:val="24"/>
        </w:rPr>
      </w:pPr>
      <w:r w:rsidRPr="009F3C16">
        <w:rPr>
          <w:rFonts w:ascii="Times New Roman" w:hAnsi="Times New Roman"/>
          <w:b w:val="0"/>
          <w:sz w:val="24"/>
          <w:szCs w:val="24"/>
        </w:rPr>
        <w:lastRenderedPageBreak/>
        <w:t>Лист – погодження</w:t>
      </w:r>
    </w:p>
    <w:p w:rsidR="009F3C16" w:rsidRPr="009F3C16" w:rsidRDefault="009F3C16" w:rsidP="009F3C16">
      <w:pPr>
        <w:pStyle w:val="a3"/>
        <w:rPr>
          <w:rFonts w:ascii="Times New Roman" w:hAnsi="Times New Roman"/>
          <w:sz w:val="24"/>
          <w:szCs w:val="24"/>
        </w:rPr>
      </w:pPr>
    </w:p>
    <w:p w:rsidR="009F3C16" w:rsidRPr="009F3C16" w:rsidRDefault="009F3C16" w:rsidP="009F3C16">
      <w:pPr>
        <w:pStyle w:val="a3"/>
        <w:rPr>
          <w:rFonts w:ascii="Times New Roman" w:hAnsi="Times New Roman"/>
          <w:sz w:val="24"/>
          <w:szCs w:val="24"/>
        </w:rPr>
      </w:pPr>
    </w:p>
    <w:p w:rsidR="009F3C16" w:rsidRPr="009F3C16" w:rsidRDefault="009F3C16" w:rsidP="009F3C16">
      <w:pPr>
        <w:jc w:val="center"/>
        <w:rPr>
          <w:rFonts w:ascii="Times New Roman" w:hAnsi="Times New Roman"/>
          <w:lang w:val="uk-UA"/>
        </w:rPr>
      </w:pPr>
      <w:r w:rsidRPr="009F3C16">
        <w:rPr>
          <w:rFonts w:ascii="Times New Roman" w:hAnsi="Times New Roman"/>
          <w:lang w:val="uk-UA"/>
        </w:rPr>
        <w:t>проекту рішення виконавчого комітету Щастинської міської ради з питання:</w:t>
      </w:r>
    </w:p>
    <w:p w:rsidR="009F3C16" w:rsidRPr="009F3C16" w:rsidRDefault="009F3C16" w:rsidP="009F3C16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9F3C16" w:rsidRDefault="009F3C16" w:rsidP="009F3C16">
      <w:pPr>
        <w:pStyle w:val="a3"/>
        <w:ind w:firstLine="426"/>
        <w:jc w:val="both"/>
        <w:rPr>
          <w:rFonts w:ascii="Times New Roman" w:eastAsia="Arial Unicode MS" w:hAnsi="Times New Roman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 w:val="0"/>
          <w:sz w:val="24"/>
          <w:szCs w:val="24"/>
        </w:rPr>
        <w:t>затвердження зведеного кошторисного розрахунку вартості об’єкта будівництва</w:t>
      </w:r>
    </w:p>
    <w:p w:rsidR="009F3C16" w:rsidRPr="009F3C16" w:rsidRDefault="009F3C16" w:rsidP="009F3C16">
      <w:pPr>
        <w:ind w:firstLine="142"/>
        <w:jc w:val="both"/>
        <w:rPr>
          <w:rFonts w:ascii="Times New Roman" w:hAnsi="Times New Roman"/>
          <w:b/>
          <w:i/>
          <w:u w:val="single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4"/>
        <w:gridCol w:w="1753"/>
        <w:gridCol w:w="1476"/>
        <w:gridCol w:w="1877"/>
        <w:gridCol w:w="1881"/>
      </w:tblGrid>
      <w:tr w:rsidR="009F3C16" w:rsidRPr="009F3C16" w:rsidTr="00794542">
        <w:tc>
          <w:tcPr>
            <w:tcW w:w="2300" w:type="dxa"/>
          </w:tcPr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Хто готував проект</w:t>
            </w:r>
          </w:p>
        </w:tc>
        <w:tc>
          <w:tcPr>
            <w:tcW w:w="1758" w:type="dxa"/>
          </w:tcPr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Кому передано на узгодження</w:t>
            </w:r>
          </w:p>
        </w:tc>
        <w:tc>
          <w:tcPr>
            <w:tcW w:w="1370" w:type="dxa"/>
          </w:tcPr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Дата передачі</w:t>
            </w:r>
          </w:p>
        </w:tc>
        <w:tc>
          <w:tcPr>
            <w:tcW w:w="2085" w:type="dxa"/>
          </w:tcPr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Відмітка про  узгодження</w:t>
            </w:r>
          </w:p>
        </w:tc>
        <w:tc>
          <w:tcPr>
            <w:tcW w:w="2091" w:type="dxa"/>
          </w:tcPr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Відмітка про  узгодження</w:t>
            </w:r>
          </w:p>
        </w:tc>
      </w:tr>
      <w:tr w:rsidR="009F3C16" w:rsidRPr="009F3C16" w:rsidTr="00794542">
        <w:tc>
          <w:tcPr>
            <w:tcW w:w="2300" w:type="dxa"/>
          </w:tcPr>
          <w:p w:rsidR="009F3C16" w:rsidRPr="009F3C16" w:rsidRDefault="009F3C16" w:rsidP="00794542">
            <w:pPr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 xml:space="preserve"> Начальник відділу архітектури, землевпорядкування та житлово-комунального господарства-</w:t>
            </w: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головний архітектор</w:t>
            </w: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tabs>
                <w:tab w:val="left" w:pos="345"/>
              </w:tabs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ab/>
              <w:t>Лукашенко О.О.</w:t>
            </w: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 xml:space="preserve"> </w:t>
            </w: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tabs>
                <w:tab w:val="left" w:pos="240"/>
              </w:tabs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ab/>
              <w:t xml:space="preserve"> </w:t>
            </w:r>
          </w:p>
        </w:tc>
        <w:tc>
          <w:tcPr>
            <w:tcW w:w="1758" w:type="dxa"/>
          </w:tcPr>
          <w:p w:rsidR="009F3C16" w:rsidRPr="009F3C16" w:rsidRDefault="009F3C16" w:rsidP="00794542">
            <w:pPr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Юрисконсульт</w:t>
            </w: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 xml:space="preserve"> </w:t>
            </w: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 xml:space="preserve">Золотарьов Р.Г. </w:t>
            </w:r>
          </w:p>
        </w:tc>
        <w:tc>
          <w:tcPr>
            <w:tcW w:w="1370" w:type="dxa"/>
          </w:tcPr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23.12.2015р.</w:t>
            </w:r>
          </w:p>
        </w:tc>
        <w:tc>
          <w:tcPr>
            <w:tcW w:w="2085" w:type="dxa"/>
          </w:tcPr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>Заступник міського голови</w:t>
            </w: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9F3C16">
              <w:rPr>
                <w:rFonts w:ascii="Times New Roman" w:hAnsi="Times New Roman"/>
                <w:lang w:val="uk-UA"/>
              </w:rPr>
              <w:t>Тюрін</w:t>
            </w:r>
            <w:proofErr w:type="spellEnd"/>
            <w:r w:rsidRPr="009F3C16">
              <w:rPr>
                <w:rFonts w:ascii="Times New Roman" w:hAnsi="Times New Roman"/>
                <w:lang w:val="uk-UA"/>
              </w:rPr>
              <w:t xml:space="preserve"> В.П.</w:t>
            </w:r>
          </w:p>
          <w:p w:rsidR="009F3C16" w:rsidRPr="009F3C16" w:rsidRDefault="009F3C16" w:rsidP="00794542">
            <w:pPr>
              <w:tabs>
                <w:tab w:val="center" w:pos="854"/>
              </w:tabs>
              <w:rPr>
                <w:rFonts w:ascii="Times New Roman" w:hAnsi="Times New Roman"/>
                <w:lang w:val="uk-UA"/>
              </w:rPr>
            </w:pPr>
            <w:r w:rsidRPr="009F3C16">
              <w:rPr>
                <w:rFonts w:ascii="Times New Roman" w:hAnsi="Times New Roman"/>
                <w:lang w:val="uk-UA"/>
              </w:rPr>
              <w:t xml:space="preserve"> </w:t>
            </w: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91" w:type="dxa"/>
          </w:tcPr>
          <w:p w:rsidR="009F3C16" w:rsidRPr="009F3C16" w:rsidRDefault="009F3C16" w:rsidP="00794542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9F3C16" w:rsidRPr="009F3C16" w:rsidRDefault="009F3C16" w:rsidP="00794542">
            <w:pPr>
              <w:tabs>
                <w:tab w:val="center" w:pos="854"/>
              </w:tabs>
              <w:rPr>
                <w:rFonts w:ascii="Times New Roman" w:hAnsi="Times New Roman"/>
                <w:lang w:val="uk-UA"/>
              </w:rPr>
            </w:pPr>
          </w:p>
        </w:tc>
      </w:tr>
    </w:tbl>
    <w:p w:rsidR="009F3C16" w:rsidRPr="009F3C16" w:rsidRDefault="009F3C16" w:rsidP="009F3C16">
      <w:pPr>
        <w:jc w:val="center"/>
        <w:rPr>
          <w:rFonts w:ascii="Times New Roman" w:hAnsi="Times New Roman"/>
          <w:lang w:val="uk-UA"/>
        </w:rPr>
      </w:pPr>
    </w:p>
    <w:p w:rsidR="009F3C16" w:rsidRPr="009F3C16" w:rsidRDefault="009F3C16" w:rsidP="009F3C16">
      <w:pPr>
        <w:jc w:val="center"/>
        <w:rPr>
          <w:rFonts w:ascii="Times New Roman" w:hAnsi="Times New Roman"/>
          <w:lang w:val="uk-UA"/>
        </w:rPr>
      </w:pPr>
    </w:p>
    <w:p w:rsidR="009F3C16" w:rsidRPr="009F3C16" w:rsidRDefault="009F3C16" w:rsidP="009F3C16">
      <w:pPr>
        <w:jc w:val="center"/>
        <w:rPr>
          <w:rFonts w:ascii="Times New Roman" w:hAnsi="Times New Roman"/>
          <w:lang w:val="uk-UA"/>
        </w:rPr>
      </w:pPr>
    </w:p>
    <w:p w:rsidR="009F3C16" w:rsidRPr="009F3C16" w:rsidRDefault="009F3C16" w:rsidP="009F3C16">
      <w:pPr>
        <w:jc w:val="center"/>
        <w:rPr>
          <w:rFonts w:ascii="Times New Roman" w:hAnsi="Times New Roman"/>
          <w:lang w:val="uk-UA"/>
        </w:rPr>
      </w:pPr>
    </w:p>
    <w:p w:rsidR="009F3C16" w:rsidRPr="009F3C16" w:rsidRDefault="009F3C16" w:rsidP="009F3C16">
      <w:pPr>
        <w:ind w:left="567"/>
        <w:rPr>
          <w:rFonts w:ascii="Times New Roman" w:hAnsi="Times New Roman"/>
          <w:lang w:val="uk-UA"/>
        </w:rPr>
      </w:pPr>
      <w:r w:rsidRPr="009F3C16">
        <w:rPr>
          <w:rFonts w:ascii="Times New Roman" w:hAnsi="Times New Roman"/>
          <w:lang w:val="uk-UA"/>
        </w:rPr>
        <w:t>В.о. міського голови,</w:t>
      </w:r>
    </w:p>
    <w:p w:rsidR="009F3C16" w:rsidRPr="009F3C16" w:rsidRDefault="009F3C16" w:rsidP="009F3C16">
      <w:pPr>
        <w:ind w:left="567"/>
        <w:rPr>
          <w:rFonts w:ascii="Times New Roman" w:hAnsi="Times New Roman"/>
          <w:lang w:val="uk-UA"/>
        </w:rPr>
      </w:pPr>
      <w:r w:rsidRPr="009F3C16">
        <w:rPr>
          <w:rFonts w:ascii="Times New Roman" w:hAnsi="Times New Roman"/>
          <w:lang w:val="uk-UA"/>
        </w:rPr>
        <w:t>секретар ради                                                                        О.О. Богиня</w:t>
      </w:r>
    </w:p>
    <w:p w:rsidR="009F3C16" w:rsidRPr="009F3C16" w:rsidRDefault="009F3C16" w:rsidP="009F3C16">
      <w:pPr>
        <w:ind w:firstLine="567"/>
        <w:rPr>
          <w:rFonts w:ascii="Times New Roman" w:hAnsi="Times New Roman"/>
          <w:lang w:val="uk-UA"/>
        </w:rPr>
      </w:pPr>
    </w:p>
    <w:p w:rsidR="009F3C16" w:rsidRPr="009F3C16" w:rsidRDefault="009F3C16" w:rsidP="009F3C16">
      <w:pPr>
        <w:ind w:firstLine="567"/>
        <w:rPr>
          <w:rFonts w:ascii="Times New Roman" w:hAnsi="Times New Roman"/>
          <w:lang w:val="uk-UA"/>
        </w:rPr>
      </w:pPr>
    </w:p>
    <w:p w:rsidR="009F3C16" w:rsidRPr="009F3C16" w:rsidRDefault="009F3C16" w:rsidP="009F3C16">
      <w:pPr>
        <w:ind w:firstLine="567"/>
        <w:rPr>
          <w:rFonts w:ascii="Times New Roman" w:hAnsi="Times New Roman"/>
          <w:lang w:val="uk-UA"/>
        </w:rPr>
      </w:pPr>
    </w:p>
    <w:p w:rsidR="009F3C16" w:rsidRPr="009F3C16" w:rsidRDefault="009F3C16" w:rsidP="00F85018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</w:p>
    <w:sectPr w:rsidR="009F3C16" w:rsidRPr="009F3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multilevel"/>
    <w:tmpl w:val="71B24AF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12C36968"/>
    <w:multiLevelType w:val="multilevel"/>
    <w:tmpl w:val="71B24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B9F3F5F"/>
    <w:multiLevelType w:val="multilevel"/>
    <w:tmpl w:val="C70A6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6964AD4"/>
    <w:multiLevelType w:val="multilevel"/>
    <w:tmpl w:val="E0ACB9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9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6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2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2" w:hanging="1800"/>
      </w:pPr>
      <w:rPr>
        <w:rFonts w:hint="default"/>
      </w:rPr>
    </w:lvl>
  </w:abstractNum>
  <w:abstractNum w:abstractNumId="5">
    <w:nsid w:val="52F96283"/>
    <w:multiLevelType w:val="multilevel"/>
    <w:tmpl w:val="F5067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46881"/>
    <w:rsid w:val="00097EBC"/>
    <w:rsid w:val="000F66D3"/>
    <w:rsid w:val="0019024B"/>
    <w:rsid w:val="00195E87"/>
    <w:rsid w:val="001C1145"/>
    <w:rsid w:val="001E255D"/>
    <w:rsid w:val="00204234"/>
    <w:rsid w:val="0022328D"/>
    <w:rsid w:val="0025589E"/>
    <w:rsid w:val="00271784"/>
    <w:rsid w:val="00337964"/>
    <w:rsid w:val="0034082E"/>
    <w:rsid w:val="00380ED6"/>
    <w:rsid w:val="003C66E8"/>
    <w:rsid w:val="003D13A0"/>
    <w:rsid w:val="003D30CD"/>
    <w:rsid w:val="00401B81"/>
    <w:rsid w:val="00485F39"/>
    <w:rsid w:val="004F4F1E"/>
    <w:rsid w:val="00504556"/>
    <w:rsid w:val="00515B06"/>
    <w:rsid w:val="00532E77"/>
    <w:rsid w:val="00534BF6"/>
    <w:rsid w:val="0055038C"/>
    <w:rsid w:val="005D27E5"/>
    <w:rsid w:val="005D6BD7"/>
    <w:rsid w:val="005E4731"/>
    <w:rsid w:val="00654B01"/>
    <w:rsid w:val="006612D0"/>
    <w:rsid w:val="00667455"/>
    <w:rsid w:val="00693BC4"/>
    <w:rsid w:val="006C30E3"/>
    <w:rsid w:val="006F02BF"/>
    <w:rsid w:val="006F178C"/>
    <w:rsid w:val="00721AE8"/>
    <w:rsid w:val="007B5BD6"/>
    <w:rsid w:val="007E0567"/>
    <w:rsid w:val="008503A1"/>
    <w:rsid w:val="009936DA"/>
    <w:rsid w:val="009F22F1"/>
    <w:rsid w:val="009F3C16"/>
    <w:rsid w:val="00A160DD"/>
    <w:rsid w:val="00A46C0B"/>
    <w:rsid w:val="00AB3276"/>
    <w:rsid w:val="00AC7BA9"/>
    <w:rsid w:val="00B14410"/>
    <w:rsid w:val="00B20913"/>
    <w:rsid w:val="00B22B8B"/>
    <w:rsid w:val="00B51583"/>
    <w:rsid w:val="00B75B9C"/>
    <w:rsid w:val="00BC3F55"/>
    <w:rsid w:val="00BF02FD"/>
    <w:rsid w:val="00C3048F"/>
    <w:rsid w:val="00CC2F4C"/>
    <w:rsid w:val="00CC5248"/>
    <w:rsid w:val="00CD0059"/>
    <w:rsid w:val="00CE196B"/>
    <w:rsid w:val="00CE4547"/>
    <w:rsid w:val="00CF35AB"/>
    <w:rsid w:val="00D826C9"/>
    <w:rsid w:val="00D9783E"/>
    <w:rsid w:val="00DC45A5"/>
    <w:rsid w:val="00DD2B16"/>
    <w:rsid w:val="00E641C4"/>
    <w:rsid w:val="00E759B6"/>
    <w:rsid w:val="00EB0F31"/>
    <w:rsid w:val="00ED536E"/>
    <w:rsid w:val="00ED6041"/>
    <w:rsid w:val="00F21AC0"/>
    <w:rsid w:val="00F24DB0"/>
    <w:rsid w:val="00F25D55"/>
    <w:rsid w:val="00F26AFF"/>
    <w:rsid w:val="00F4029E"/>
    <w:rsid w:val="00F47D0E"/>
    <w:rsid w:val="00F63C28"/>
    <w:rsid w:val="00F85018"/>
    <w:rsid w:val="00F9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8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5BDD5-2066-4242-893B-3783401B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user</cp:lastModifiedBy>
  <cp:revision>6</cp:revision>
  <cp:lastPrinted>2015-10-19T13:12:00Z</cp:lastPrinted>
  <dcterms:created xsi:type="dcterms:W3CDTF">2015-12-23T14:24:00Z</dcterms:created>
  <dcterms:modified xsi:type="dcterms:W3CDTF">2016-02-15T06:47:00Z</dcterms:modified>
</cp:coreProperties>
</file>